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ind w:left="-141.73228346456688" w:firstLine="0"/>
        <w:rPr>
          <w:rFonts w:ascii="Nunito" w:cs="Nunito" w:eastAsia="Nunito" w:hAnsi="Nunito"/>
          <w:sz w:val="24"/>
          <w:szCs w:val="24"/>
        </w:rPr>
      </w:pPr>
      <w:r w:rsidDel="00000000" w:rsidR="00000000" w:rsidRPr="00000000">
        <w:rPr>
          <w:rFonts w:ascii="Nunito" w:cs="Nunito" w:eastAsia="Nunito" w:hAnsi="Nunito"/>
          <w:sz w:val="24"/>
          <w:szCs w:val="24"/>
        </w:rPr>
        <w:drawing>
          <wp:inline distB="0" distT="0" distL="0" distR="0">
            <wp:extent cx="1523138" cy="7223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3138" cy="722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rPr>
          <w:rFonts w:ascii="Nunito" w:cs="Nunito" w:eastAsia="Nunito" w:hAnsi="Nunito"/>
          <w:b w:val="1"/>
          <w:color w:val="000046"/>
          <w:sz w:val="28"/>
          <w:szCs w:val="28"/>
        </w:rPr>
      </w:pPr>
      <w:r w:rsidDel="00000000" w:rsidR="00000000" w:rsidRPr="00000000">
        <w:rPr>
          <w:rFonts w:ascii="Nunito" w:cs="Nunito" w:eastAsia="Nunito" w:hAnsi="Nunito"/>
          <w:b w:val="1"/>
          <w:color w:val="000046"/>
          <w:sz w:val="28"/>
          <w:szCs w:val="28"/>
          <w:rtl w:val="0"/>
        </w:rPr>
        <w:t xml:space="preserve">Time critical medication, on time, every time. Ten recommendations for your hospital </w:t>
      </w:r>
    </w:p>
    <w:p w:rsidR="00000000" w:rsidDel="00000000" w:rsidP="00000000" w:rsidRDefault="00000000" w:rsidRPr="00000000" w14:paraId="00000004">
      <w:pPr>
        <w:tabs>
          <w:tab w:val="center" w:leader="none" w:pos="4680"/>
          <w:tab w:val="right" w:leader="none" w:pos="9360"/>
        </w:tabs>
        <w:spacing w:line="240" w:lineRule="auto"/>
        <w:rPr>
          <w:rFonts w:ascii="Nunito" w:cs="Nunito" w:eastAsia="Nunito" w:hAnsi="Nunito"/>
          <w:b w:val="1"/>
          <w:color w:val="000046"/>
          <w:sz w:val="28"/>
          <w:szCs w:val="28"/>
        </w:rPr>
      </w:pPr>
      <w:r w:rsidDel="00000000" w:rsidR="00000000" w:rsidRPr="00000000">
        <w:rPr>
          <w:rFonts w:ascii="Nunito" w:cs="Nunito" w:eastAsia="Nunito" w:hAnsi="Nunito"/>
          <w:b w:val="1"/>
          <w:color w:val="000046"/>
          <w:sz w:val="28"/>
          <w:szCs w:val="28"/>
          <w:rtl w:val="0"/>
        </w:rPr>
        <w:t xml:space="preserve">Benchmarking template</w:t>
      </w: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rFonts w:ascii="Nunito" w:cs="Nunito" w:eastAsia="Nunito" w:hAnsi="Nunito"/>
          <w:b w:val="1"/>
          <w:color w:val="000046"/>
          <w:sz w:val="24"/>
          <w:szCs w:val="24"/>
        </w:rPr>
      </w:pPr>
      <w:r w:rsidDel="00000000" w:rsidR="00000000" w:rsidRPr="00000000">
        <w:rPr>
          <w:rtl w:val="0"/>
        </w:rPr>
      </w:r>
    </w:p>
    <w:p w:rsidR="00000000" w:rsidDel="00000000" w:rsidP="00000000" w:rsidRDefault="00000000" w:rsidRPr="00000000" w14:paraId="00000006">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Organisation:</w:t>
      </w:r>
    </w:p>
    <w:p w:rsidR="00000000" w:rsidDel="00000000" w:rsidP="00000000" w:rsidRDefault="00000000" w:rsidRPr="00000000" w14:paraId="00000007">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Contact name:</w:t>
      </w:r>
    </w:p>
    <w:p w:rsidR="00000000" w:rsidDel="00000000" w:rsidP="00000000" w:rsidRDefault="00000000" w:rsidRPr="00000000" w14:paraId="00000008">
      <w:pPr>
        <w:tabs>
          <w:tab w:val="center" w:leader="none" w:pos="4680"/>
          <w:tab w:val="right" w:leader="none" w:pos="9360"/>
        </w:tabs>
        <w:spacing w:line="271.2" w:lineRule="auto"/>
        <w:rPr>
          <w:rFonts w:ascii="Nunito" w:cs="Nunito" w:eastAsia="Nunito" w:hAnsi="Nunito"/>
          <w:b w:val="1"/>
          <w:color w:val="00b0f0"/>
          <w:sz w:val="24"/>
          <w:szCs w:val="24"/>
        </w:rPr>
      </w:pPr>
      <w:r w:rsidDel="00000000" w:rsidR="00000000" w:rsidRPr="00000000">
        <w:rPr>
          <w:rFonts w:ascii="Nunito" w:cs="Nunito" w:eastAsia="Nunito" w:hAnsi="Nunito"/>
          <w:b w:val="1"/>
          <w:color w:val="00b0f0"/>
          <w:sz w:val="24"/>
          <w:szCs w:val="24"/>
          <w:rtl w:val="0"/>
        </w:rPr>
        <w:t xml:space="preserve">Email:</w:t>
      </w:r>
    </w:p>
    <w:p w:rsidR="00000000" w:rsidDel="00000000" w:rsidP="00000000" w:rsidRDefault="00000000" w:rsidRPr="00000000" w14:paraId="00000009">
      <w:pPr>
        <w:shd w:fill="ffffff" w:val="clear"/>
        <w:spacing w:after="240" w:before="240" w:line="331.2"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Key</w:t>
      </w:r>
    </w:p>
    <w:p w:rsidR="00000000" w:rsidDel="00000000" w:rsidP="00000000" w:rsidRDefault="00000000" w:rsidRPr="00000000" w14:paraId="0000000A">
      <w:pPr>
        <w:numPr>
          <w:ilvl w:val="0"/>
          <w:numId w:val="1"/>
        </w:numPr>
        <w:shd w:fill="ffffff" w:val="clear"/>
        <w:spacing w:after="0" w:afterAutospacing="0" w:before="240" w:line="331.2" w:lineRule="auto"/>
        <w:ind w:left="720" w:hanging="360"/>
        <w:rPr>
          <w:rFonts w:ascii="Nunito" w:cs="Nunito" w:eastAsia="Nunito" w:hAnsi="Nunito"/>
          <w:highlight w:val="white"/>
        </w:rPr>
      </w:pPr>
      <w:r w:rsidDel="00000000" w:rsidR="00000000" w:rsidRPr="00000000">
        <w:rPr>
          <w:rFonts w:ascii="Nunito" w:cs="Nunito" w:eastAsia="Nunito" w:hAnsi="Nunito"/>
          <w:highlight w:val="white"/>
          <w:rtl w:val="0"/>
        </w:rPr>
        <w:t xml:space="preserve">Green - This recommendation has fully implemented this recommendation and the outcomes are being monitored.</w:t>
      </w:r>
    </w:p>
    <w:p w:rsidR="00000000" w:rsidDel="00000000" w:rsidP="00000000" w:rsidRDefault="00000000" w:rsidRPr="00000000" w14:paraId="0000000B">
      <w:pPr>
        <w:numPr>
          <w:ilvl w:val="0"/>
          <w:numId w:val="1"/>
        </w:numPr>
        <w:shd w:fill="ffffff" w:val="clear"/>
        <w:spacing w:after="0" w:afterAutospacing="0" w:before="0" w:beforeAutospacing="0" w:line="331.2" w:lineRule="auto"/>
        <w:ind w:left="720" w:hanging="360"/>
        <w:rPr>
          <w:rFonts w:ascii="Nunito" w:cs="Nunito" w:eastAsia="Nunito" w:hAnsi="Nunito"/>
          <w:highlight w:val="white"/>
        </w:rPr>
      </w:pPr>
      <w:r w:rsidDel="00000000" w:rsidR="00000000" w:rsidRPr="00000000">
        <w:rPr>
          <w:rFonts w:ascii="Nunito" w:cs="Nunito" w:eastAsia="Nunito" w:hAnsi="Nunito"/>
          <w:highlight w:val="white"/>
          <w:rtl w:val="0"/>
        </w:rPr>
        <w:t xml:space="preserve">Amber - Some progress has been made to implement this recommendation but further work is required.</w:t>
      </w: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0" w:beforeAutospacing="0" w:line="331.2" w:lineRule="auto"/>
        <w:ind w:left="720" w:hanging="360"/>
        <w:rPr>
          <w:rFonts w:ascii="Nunito" w:cs="Nunito" w:eastAsia="Nunito" w:hAnsi="Nunito"/>
          <w:highlight w:val="white"/>
        </w:rPr>
      </w:pPr>
      <w:r w:rsidDel="00000000" w:rsidR="00000000" w:rsidRPr="00000000">
        <w:rPr>
          <w:rFonts w:ascii="Nunito" w:cs="Nunito" w:eastAsia="Nunito" w:hAnsi="Nunito"/>
          <w:highlight w:val="white"/>
          <w:rtl w:val="0"/>
        </w:rPr>
        <w:t xml:space="preserve">Red - No progress has been made to implement this recommendation</w:t>
      </w:r>
      <w:r w:rsidDel="00000000" w:rsidR="00000000" w:rsidRPr="00000000">
        <w:rPr>
          <w:rFonts w:ascii="Nunito" w:cs="Nunito" w:eastAsia="Nunito" w:hAnsi="Nunito"/>
          <w:b w:val="1"/>
          <w:color w:val="000046"/>
          <w:sz w:val="24"/>
          <w:szCs w:val="24"/>
          <w:rtl w:val="0"/>
        </w:rPr>
        <w:tab/>
      </w:r>
      <w:r w:rsidDel="00000000" w:rsidR="00000000" w:rsidRPr="00000000">
        <w:rPr>
          <w:rtl w:val="0"/>
        </w:rPr>
      </w:r>
    </w:p>
    <w:tbl>
      <w:tblPr>
        <w:tblStyle w:val="Table1"/>
        <w:tblW w:w="14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065"/>
        <w:gridCol w:w="2865"/>
        <w:gridCol w:w="7080"/>
        <w:tblGridChange w:id="0">
          <w:tblGrid>
            <w:gridCol w:w="615"/>
            <w:gridCol w:w="4065"/>
            <w:gridCol w:w="2865"/>
            <w:gridCol w:w="7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Nunito" w:cs="Nunito" w:eastAsia="Nunito" w:hAnsi="Nunito"/>
                <w:b w:val="1"/>
                <w:color w:val="00004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Recommendation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RAG Rating </w:t>
            </w:r>
          </w:p>
          <w:p w:rsidR="00000000" w:rsidDel="00000000" w:rsidP="00000000" w:rsidRDefault="00000000" w:rsidRPr="00000000" w14:paraId="00000010">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(Red / Green / Amber)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Please comment here to describe progress and actions against this recommendation.</w:t>
            </w:r>
          </w:p>
        </w:tc>
      </w:tr>
      <w:tr>
        <w:trPr>
          <w:cantSplit w:val="0"/>
          <w:trHeight w:val="2025.47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left="0" w:firstLine="0"/>
              <w:rPr>
                <w:rFonts w:ascii="Nunito" w:cs="Nunito" w:eastAsia="Nunito" w:hAnsi="Nunito"/>
                <w:highlight w:val="white"/>
              </w:rPr>
            </w:pPr>
            <w:r w:rsidDel="00000000" w:rsidR="00000000" w:rsidRPr="00000000">
              <w:rPr>
                <w:rFonts w:ascii="Nunito" w:cs="Nunito" w:eastAsia="Nunito" w:hAnsi="Nunito"/>
                <w:highlight w:val="white"/>
                <w:rtl w:val="0"/>
              </w:rPr>
              <w:t xml:space="preserve">Parkinson’s medication is time critical medication. Time critical medications must be given within 30 minutes of when they are due, highlighted as a risk to patient safety and added to every hospital risk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Nunito" w:cs="Nunito" w:eastAsia="Nunito" w:hAnsi="Nunito"/>
                <w:highlight w:val="white"/>
              </w:rPr>
            </w:pPr>
            <w:sdt>
              <w:sdtPr>
                <w:alias w:val="Configuration 1"/>
                <w:id w:val="-1444052069"/>
                <w:dropDownList w:lastValue="This recommendation has been fully implemented and the outcomes are being monitored.">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color w:val="d4edbc"/>
                    <w:shd w:fill="11734b" w:val="clear"/>
                  </w:rPr>
                  <w:t xml:space="preserve">This recommendation has been fully implemented and the outcomes are being monitored.</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All staff within hospitals are made aware of time critical medication. Make this 3 minute video </w:t>
            </w:r>
            <w:hyperlink r:id="rId7">
              <w:r w:rsidDel="00000000" w:rsidR="00000000" w:rsidRPr="00000000">
                <w:rPr>
                  <w:rFonts w:ascii="Nunito" w:cs="Nunito" w:eastAsia="Nunito" w:hAnsi="Nunito"/>
                  <w:color w:val="0000ff"/>
                  <w:u w:val="single"/>
                  <w:rtl w:val="0"/>
                </w:rPr>
                <w:t xml:space="preserve">Time Matters : It's Critical</w:t>
              </w:r>
            </w:hyperlink>
            <w:r w:rsidDel="00000000" w:rsidR="00000000" w:rsidRPr="00000000">
              <w:rPr>
                <w:rFonts w:ascii="Nunito" w:cs="Nunito" w:eastAsia="Nunito" w:hAnsi="Nunito"/>
                <w:rtl w:val="0"/>
              </w:rPr>
              <w:t xml:space="preserve"> mandatory viewing for all staff.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Nunito" w:cs="Nunito" w:eastAsia="Nunito" w:hAnsi="Nunito"/>
                <w:highlight w:val="white"/>
              </w:rPr>
            </w:pPr>
            <w:sdt>
              <w:sdtPr>
                <w:alias w:val="Configuration 1"/>
                <w:id w:val="-1061228218"/>
                <w:dropDownList w:lastValue="No progress has been made to implement this recommendation.">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color w:val="ffcfc9"/>
                    <w:shd w:fill="b10202" w:val="clear"/>
                  </w:rPr>
                  <w:t xml:space="preserve">No progress has been made to implement this recommendation.</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identify which staff are to undertake further Parkinson’s medication training.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Nunito" w:cs="Nunito" w:eastAsia="Nunito" w:hAnsi="Nunito"/>
                <w:highlight w:val="white"/>
              </w:rPr>
            </w:pPr>
            <w:sdt>
              <w:sdtPr>
                <w:alias w:val="Configuration 1"/>
                <w:id w:val="1597477400"/>
                <w:dropDownList w:lastValue="Some progress has been made to implement this recommendation but further work is required.">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color w:val="473821"/>
                    <w:shd w:fill="ffe5a0" w:val="clear"/>
                  </w:rPr>
                  <w:t xml:space="preserve">Some progress has been made to implement this recommendation but further work is required.</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develop, maintain and update a self-administration policy for those patients who can administer their own medication. The Policy should be reviewed regularly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Nunito" w:cs="Nunito" w:eastAsia="Nunito" w:hAnsi="Nunito"/>
                <w:highlight w:val="white"/>
              </w:rPr>
            </w:pPr>
            <w:sdt>
              <w:sdtPr>
                <w:alias w:val="Configuration 1"/>
                <w:id w:val="528718355"/>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identify all patients on time critical medication when they arrive in the Emergency Department (ED) or through an elective or emergency admissions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Nunito" w:cs="Nunito" w:eastAsia="Nunito" w:hAnsi="Nunito"/>
                <w:highlight w:val="white"/>
              </w:rPr>
            </w:pPr>
            <w:sdt>
              <w:sdtPr>
                <w:alias w:val="Configuration 1"/>
                <w:id w:val="1739948335"/>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EDs and admissions units develop and update an agreed list of time critical medication visible to patients when they arrive so they feel empowered to inform staff that they take time critical medication. For elective admissions, people with Parkinson’s will have prepared themselves.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Nunito" w:cs="Nunito" w:eastAsia="Nunito" w:hAnsi="Nunito"/>
                <w:highlight w:val="white"/>
              </w:rPr>
            </w:pPr>
            <w:sdt>
              <w:sdtPr>
                <w:alias w:val="Configuration 1"/>
                <w:id w:val="-94796593"/>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Hospitals have a designated pharmacist who is responsible for ordering and stocking the time critical medications in the ED and on appropriate admissions units and wards to ensure they are always available.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w:cs="Nunito" w:eastAsia="Nunito" w:hAnsi="Nunito"/>
                <w:highlight w:val="white"/>
              </w:rPr>
            </w:pPr>
            <w:sdt>
              <w:sdtPr>
                <w:alias w:val="Configuration 1"/>
                <w:id w:val="-1230268683"/>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Nunito" w:cs="Nunito" w:eastAsia="Nunito" w:hAnsi="Nunito"/>
                <w:highlight w:val="white"/>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highlight w:val="white"/>
                <w:rtl w:val="0"/>
              </w:rPr>
              <w:t xml:space="preserve">Where appropriate the prescribing of a patient's time critical medication should reflect their normal daily schedule and should continue during the full admission period. Hospital systems, including electronic prescribing where available, should be maximised to support this.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Nunito" w:cs="Nunito" w:eastAsia="Nunito" w:hAnsi="Nunito"/>
                <w:highlight w:val="white"/>
              </w:rPr>
            </w:pPr>
            <w:sdt>
              <w:sdtPr>
                <w:alias w:val="Configuration 1"/>
                <w:id w:val="1755306546"/>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line="240" w:lineRule="auto"/>
              <w:ind w:left="0" w:firstLine="0"/>
              <w:rPr>
                <w:rFonts w:ascii="Nunito" w:cs="Nunito" w:eastAsia="Nunito" w:hAnsi="Nunito"/>
                <w:color w:val="0000ff"/>
              </w:rPr>
            </w:pPr>
            <w:r w:rsidDel="00000000" w:rsidR="00000000" w:rsidRPr="00000000">
              <w:rPr>
                <w:rFonts w:ascii="Nunito" w:cs="Nunito" w:eastAsia="Nunito" w:hAnsi="Nunito"/>
                <w:rtl w:val="0"/>
              </w:rPr>
              <w:t xml:space="preserve">Ensure that hospitals have a Standard Operating Procedure / guideline for all time critical medication, including those patients who are nil by mouth (NBM) or require a nasogastric (NG) tube. This should signpost to one of the </w:t>
            </w:r>
            <w:hyperlink r:id="rId8">
              <w:r w:rsidDel="00000000" w:rsidR="00000000" w:rsidRPr="00000000">
                <w:rPr>
                  <w:rFonts w:ascii="Nunito" w:cs="Nunito" w:eastAsia="Nunito" w:hAnsi="Nunito"/>
                  <w:color w:val="0000ff"/>
                  <w:u w:val="single"/>
                  <w:rtl w:val="0"/>
                </w:rPr>
                <w:t xml:space="preserve">NBM medication calculators.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Nunito" w:cs="Nunito" w:eastAsia="Nunito" w:hAnsi="Nunito"/>
                <w:highlight w:val="white"/>
              </w:rPr>
            </w:pPr>
            <w:sdt>
              <w:sdtPr>
                <w:alias w:val="Configuration 1"/>
                <w:id w:val="249097853"/>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Nunito" w:cs="Nunito" w:eastAsia="Nunito" w:hAnsi="Nunito"/>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Nunito" w:cs="Nunito" w:eastAsia="Nunito" w:hAnsi="Nunito"/>
                <w:b w:val="1"/>
                <w:highlight w:val="white"/>
              </w:rPr>
            </w:pPr>
            <w:r w:rsidDel="00000000" w:rsidR="00000000" w:rsidRPr="00000000">
              <w:rPr>
                <w:rFonts w:ascii="Nunito" w:cs="Nunito" w:eastAsia="Nunito" w:hAnsi="Nunito"/>
                <w:b w:val="1"/>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line="240" w:lineRule="auto"/>
              <w:ind w:left="0" w:firstLine="0"/>
              <w:rPr>
                <w:rFonts w:ascii="Nunito" w:cs="Nunito" w:eastAsia="Nunito" w:hAnsi="Nunito"/>
                <w:b w:val="1"/>
                <w:highlight w:val="white"/>
              </w:rPr>
            </w:pPr>
            <w:r w:rsidDel="00000000" w:rsidR="00000000" w:rsidRPr="00000000">
              <w:rPr>
                <w:rFonts w:ascii="Nunito" w:cs="Nunito" w:eastAsia="Nunito" w:hAnsi="Nunito"/>
                <w:rtl w:val="0"/>
              </w:rPr>
              <w:t xml:space="preserve">Ensure hospitals devise and implement a system so that staff can administer all time critical medications outside of the normal medication rounds if self-administration is not appropriate.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Nunito" w:cs="Nunito" w:eastAsia="Nunito" w:hAnsi="Nunito"/>
                <w:highlight w:val="white"/>
              </w:rPr>
            </w:pPr>
            <w:sdt>
              <w:sdtPr>
                <w:alias w:val="Configuration 1"/>
                <w:id w:val="-657438675"/>
                <w:dropDownList w:lastValue="Please select your RAG rating here">
                  <w:listItem w:displayText="Please select your RAG rating here" w:value="Please select your RAG rating here"/>
                  <w:listItem w:displayText="This recommendation has been fully implemented and the outcomes are being monitored." w:value="This recommendation has been fully implemented and the outcomes are being monitored."/>
                  <w:listItem w:displayText="Some progress has been made to implement this recommendation but further work is required." w:value="Some progress has been made to implement this recommendation but further work is required."/>
                  <w:listItem w:displayText="No progress has been made to implement this recommendation." w:value="No progress has been made to implement this recommendation."/>
                </w:dropDownList>
              </w:sdtPr>
              <w:sdtContent>
                <w:r w:rsidDel="00000000" w:rsidR="00000000" w:rsidRPr="00000000">
                  <w:rPr>
                    <w:rFonts w:ascii="Nunito" w:cs="Nunito" w:eastAsia="Nunito" w:hAnsi="Nunito"/>
                    <w:shd w:fill="auto" w:val="clear"/>
                  </w:rPr>
                  <w:t xml:space="preserve">Please select your RAG rating here</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Nunito" w:cs="Nunito" w:eastAsia="Nunito" w:hAnsi="Nunito"/>
                <w:highlight w:val="white"/>
              </w:rPr>
            </w:pPr>
            <w:r w:rsidDel="00000000" w:rsidR="00000000" w:rsidRPr="00000000">
              <w:rPr>
                <w:rtl w:val="0"/>
              </w:rPr>
            </w:r>
          </w:p>
        </w:tc>
      </w:tr>
    </w:tbl>
    <w:p w:rsidR="00000000" w:rsidDel="00000000" w:rsidP="00000000" w:rsidRDefault="00000000" w:rsidRPr="00000000" w14:paraId="0000003A">
      <w:pPr>
        <w:shd w:fill="ffffff" w:val="clear"/>
        <w:spacing w:after="240" w:before="240" w:line="331.2" w:lineRule="auto"/>
        <w:rPr>
          <w:highlight w:val="white"/>
        </w:rPr>
      </w:pPr>
      <w:r w:rsidDel="00000000" w:rsidR="00000000" w:rsidRPr="00000000">
        <w:rPr>
          <w:rtl w:val="0"/>
        </w:rPr>
      </w:r>
    </w:p>
    <w:p w:rsidR="00000000" w:rsidDel="00000000" w:rsidP="00000000" w:rsidRDefault="00000000" w:rsidRPr="00000000" w14:paraId="0000003B">
      <w:pPr>
        <w:shd w:fill="ffffff" w:val="clear"/>
        <w:spacing w:after="240" w:before="240" w:line="331.2" w:lineRule="auto"/>
        <w:rPr>
          <w:rFonts w:ascii="Nunito" w:cs="Nunito" w:eastAsia="Nunito" w:hAnsi="Nunito"/>
          <w:b w:val="1"/>
          <w:color w:val="000046"/>
          <w:sz w:val="24"/>
          <w:szCs w:val="24"/>
          <w:highlight w:val="white"/>
        </w:rPr>
      </w:pPr>
      <w:r w:rsidDel="00000000" w:rsidR="00000000" w:rsidRPr="00000000">
        <w:rPr>
          <w:rFonts w:ascii="Nunito" w:cs="Nunito" w:eastAsia="Nunito" w:hAnsi="Nunito"/>
          <w:b w:val="1"/>
          <w:color w:val="000046"/>
          <w:sz w:val="24"/>
          <w:szCs w:val="24"/>
          <w:highlight w:val="white"/>
          <w:rtl w:val="0"/>
        </w:rPr>
        <w:t xml:space="preserve">Further information</w:t>
      </w:r>
    </w:p>
    <w:p w:rsidR="00000000" w:rsidDel="00000000" w:rsidP="00000000" w:rsidRDefault="00000000" w:rsidRPr="00000000" w14:paraId="0000003C">
      <w:pPr>
        <w:shd w:fill="ffffff" w:val="clear"/>
        <w:spacing w:line="240" w:lineRule="auto"/>
        <w:rPr>
          <w:rFonts w:ascii="Nunito" w:cs="Nunito" w:eastAsia="Nunito" w:hAnsi="Nunito"/>
        </w:rPr>
      </w:pPr>
      <w:r w:rsidDel="00000000" w:rsidR="00000000" w:rsidRPr="00000000">
        <w:rPr>
          <w:rFonts w:ascii="Nunito" w:cs="Nunito" w:eastAsia="Nunito" w:hAnsi="Nunito"/>
          <w:rtl w:val="0"/>
        </w:rPr>
        <w:t xml:space="preserve">For further information please contact: Jean Almond, Programme Manager ‑ Time Critical Medication, Parkinson's UK. </w:t>
      </w:r>
      <w:hyperlink r:id="rId9">
        <w:r w:rsidDel="00000000" w:rsidR="00000000" w:rsidRPr="00000000">
          <w:rPr>
            <w:rFonts w:ascii="Nunito" w:cs="Nunito" w:eastAsia="Nunito" w:hAnsi="Nunito"/>
            <w:color w:val="0000ff"/>
            <w:u w:val="single"/>
            <w:rtl w:val="0"/>
          </w:rPr>
          <w:t xml:space="preserve">jalmond@parkinsons.org.uk</w:t>
        </w:r>
      </w:hyperlink>
      <w:r w:rsidDel="00000000" w:rsidR="00000000" w:rsidRPr="00000000">
        <w:rPr>
          <w:rFonts w:ascii="Nunito" w:cs="Nunito" w:eastAsia="Nunito" w:hAnsi="Nunito"/>
          <w:color w:val="0000ff"/>
          <w:rtl w:val="0"/>
        </w:rPr>
        <w:t xml:space="preserve"> /</w:t>
      </w:r>
      <w:r w:rsidDel="00000000" w:rsidR="00000000" w:rsidRPr="00000000">
        <w:rPr>
          <w:rFonts w:ascii="Nunito" w:cs="Nunito" w:eastAsia="Nunito" w:hAnsi="Nunito"/>
          <w:rtl w:val="0"/>
        </w:rPr>
        <w:t xml:space="preserve"> 020 7963 9365</w:t>
      </w:r>
    </w:p>
    <w:p w:rsidR="00000000" w:rsidDel="00000000" w:rsidP="00000000" w:rsidRDefault="00000000" w:rsidRPr="00000000" w14:paraId="0000003D">
      <w:pPr>
        <w:shd w:fill="ffffff" w:val="clea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E">
      <w:pPr>
        <w:shd w:fill="ffffff" w:val="clear"/>
        <w:spacing w:line="240" w:lineRule="auto"/>
        <w:rPr>
          <w:rFonts w:ascii="Nunito" w:cs="Nunito" w:eastAsia="Nunito" w:hAnsi="Nunito"/>
          <w:color w:val="0000ff"/>
        </w:rPr>
      </w:pPr>
      <w:r w:rsidDel="00000000" w:rsidR="00000000" w:rsidRPr="00000000">
        <w:rPr>
          <w:rFonts w:ascii="Nunito" w:cs="Nunito" w:eastAsia="Nunito" w:hAnsi="Nunito"/>
          <w:color w:val="1f1f1f"/>
          <w:highlight w:val="white"/>
          <w:rtl w:val="0"/>
        </w:rPr>
        <w:t xml:space="preserve">Discover</w:t>
      </w:r>
      <w:hyperlink r:id="rId10">
        <w:r w:rsidDel="00000000" w:rsidR="00000000" w:rsidRPr="00000000">
          <w:rPr>
            <w:rFonts w:ascii="Nunito" w:cs="Nunito" w:eastAsia="Nunito" w:hAnsi="Nunito"/>
            <w:color w:val="1f1f1f"/>
            <w:highlight w:val="white"/>
            <w:rtl w:val="0"/>
          </w:rPr>
          <w:t xml:space="preserve"> </w:t>
        </w:r>
      </w:hyperlink>
      <w:hyperlink r:id="rId11">
        <w:r w:rsidDel="00000000" w:rsidR="00000000" w:rsidRPr="00000000">
          <w:rPr>
            <w:rFonts w:ascii="Nunito" w:cs="Nunito" w:eastAsia="Nunito" w:hAnsi="Nunito"/>
            <w:color w:val="1155cc"/>
            <w:highlight w:val="white"/>
            <w:u w:val="single"/>
            <w:rtl w:val="0"/>
          </w:rPr>
          <w:t xml:space="preserve">information and resources for professionals</w:t>
        </w:r>
      </w:hyperlink>
      <w:r w:rsidDel="00000000" w:rsidR="00000000" w:rsidRPr="00000000">
        <w:rPr>
          <w:rFonts w:ascii="Nunito" w:cs="Nunito" w:eastAsia="Nunito" w:hAnsi="Nunito"/>
          <w:color w:val="222222"/>
          <w:highlight w:val="white"/>
          <w:rtl w:val="0"/>
        </w:rPr>
        <w:t xml:space="preserve"> to support the campaign to make sure everyone with Parkinson's in hospital gets their medication </w:t>
      </w:r>
      <w:r w:rsidDel="00000000" w:rsidR="00000000" w:rsidRPr="00000000">
        <w:rPr>
          <w:rFonts w:ascii="Nunito" w:cs="Nunito" w:eastAsia="Nunito" w:hAnsi="Nunito"/>
          <w:b w:val="1"/>
          <w:color w:val="222222"/>
          <w:highlight w:val="white"/>
          <w:rtl w:val="0"/>
        </w:rPr>
        <w:t xml:space="preserve">on time, every time</w:t>
      </w:r>
      <w:r w:rsidDel="00000000" w:rsidR="00000000" w:rsidRPr="00000000">
        <w:rPr>
          <w:rtl w:val="0"/>
        </w:rPr>
      </w:r>
    </w:p>
    <w:p w:rsidR="00000000" w:rsidDel="00000000" w:rsidP="00000000" w:rsidRDefault="00000000" w:rsidRPr="00000000" w14:paraId="0000003F">
      <w:pPr>
        <w:shd w:fill="ffffff" w:val="clear"/>
        <w:spacing w:after="240" w:before="240" w:line="331.2" w:lineRule="auto"/>
        <w:rPr>
          <w:rFonts w:ascii="Nunito" w:cs="Nunito" w:eastAsia="Nunito" w:hAnsi="Nunito"/>
          <w:highlight w:val="white"/>
        </w:rPr>
      </w:pPr>
      <w:r w:rsidDel="00000000" w:rsidR="00000000" w:rsidRPr="00000000">
        <w:rPr>
          <w:rtl w:val="0"/>
        </w:rPr>
      </w:r>
    </w:p>
    <w:p w:rsidR="00000000" w:rsidDel="00000000" w:rsidP="00000000" w:rsidRDefault="00000000" w:rsidRPr="00000000" w14:paraId="00000040">
      <w:pPr>
        <w:shd w:fill="ffffff" w:val="clear"/>
        <w:spacing w:after="240" w:before="240" w:line="331.2" w:lineRule="auto"/>
        <w:rPr>
          <w:rFonts w:ascii="Nunito" w:cs="Nunito" w:eastAsia="Nunito" w:hAnsi="Nunito"/>
          <w:highlight w:val="white"/>
        </w:rPr>
      </w:pPr>
      <w:r w:rsidDel="00000000" w:rsidR="00000000" w:rsidRPr="00000000">
        <w:rPr>
          <w:rtl w:val="0"/>
        </w:rPr>
      </w:r>
    </w:p>
    <w:sectPr>
      <w:footerReference r:id="rId12" w:type="default"/>
      <w:pgSz w:h="11909" w:w="16834" w:orient="landscape"/>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hd w:fill="ffffff" w:val="clear"/>
      <w:spacing w:after="240" w:before="240" w:line="331.2" w:lineRule="auto"/>
      <w:rPr/>
    </w:pPr>
    <w:r w:rsidDel="00000000" w:rsidR="00000000" w:rsidRPr="00000000">
      <w:rPr>
        <w:rFonts w:ascii="Nunito" w:cs="Nunito" w:eastAsia="Nunito" w:hAnsi="Nunito"/>
        <w:highlight w:val="white"/>
        <w:rtl w:val="0"/>
      </w:rPr>
      <w:t xml:space="preserve">April 2023 - page </w:t>
    </w:r>
    <w:r w:rsidDel="00000000" w:rsidR="00000000" w:rsidRPr="00000000">
      <w:rPr>
        <w:rFonts w:ascii="Nunito" w:cs="Nunito" w:eastAsia="Nunito" w:hAnsi="Nunito"/>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arkinsons.org.uk/professionals/resources/time-critical-medication-and-get-it-time-campaign-resources" TargetMode="External"/><Relationship Id="rId10" Type="http://schemas.openxmlformats.org/officeDocument/2006/relationships/hyperlink" Target="https://www.parkinsons.org.uk/professionals/resources/time-critical-medication-and-get-it-time-campaign-resources" TargetMode="External"/><Relationship Id="rId12" Type="http://schemas.openxmlformats.org/officeDocument/2006/relationships/footer" Target="footer1.xml"/><Relationship Id="rId9" Type="http://schemas.openxmlformats.org/officeDocument/2006/relationships/hyperlink" Target="mailto:jalmond@parkinsons.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vimeo.com/805944594/22c9f8169e" TargetMode="External"/><Relationship Id="rId8" Type="http://schemas.openxmlformats.org/officeDocument/2006/relationships/hyperlink" Target="https://www.parkinsons.org.uk/professionals/resources/nil-mouth-medication-dose-calculators-and-guidelines?gclid=CjwKCAiAleOeBhBdEiwAfgmXf3tT1FpT3EMTQ6ajZHpsUsw5JdtJ9DzTaIIFZjsrXzV2fIbtLHMNZBoCR30QAvD_BwE&amp;gclsrc=aw.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