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Name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Great news. We have now completed our recruitment phase with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people taking part. Next, we will start making sense of the data that we collected. We think this will take around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months. After this, we will start writing up the findings and hope to publish the data by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Would you like to receive a summary of the trial? We will be sharing it via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method email/website/letter/live seminar etc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You can also contact </w:t>
      </w: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Name via email at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example@example.com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if you have any further questions about the trial.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Now that you have finished taking part in our research, you can discover other research opportunities to take part in. Just head to the 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sz w:val="24"/>
            <w:szCs w:val="24"/>
            <w:u w:val="single"/>
            <w:rtl w:val="0"/>
          </w:rPr>
          <w:t xml:space="preserve">Parkinson’s UK Take Part Hub</w:t>
        </w:r>
      </w:hyperlink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or </w:t>
      </w:r>
      <w:hyperlink r:id="rId8">
        <w:r w:rsidDel="00000000" w:rsidR="00000000" w:rsidRPr="00000000">
          <w:rPr>
            <w:rFonts w:ascii="Nunito" w:cs="Nunito" w:eastAsia="Nunito" w:hAnsi="Nunito"/>
            <w:color w:val="1155cc"/>
            <w:sz w:val="24"/>
            <w:szCs w:val="24"/>
            <w:u w:val="single"/>
            <w:rtl w:val="0"/>
          </w:rPr>
          <w:t xml:space="preserve">Be Part of Research</w:t>
        </w:r>
      </w:hyperlink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. Search using your postcode and find out what is in your area.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Thank you for your time. If you have any feedback about your experience we’d love to hear from you. Please email (...) with any thoughts.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We look forward to sharing our results with you.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Best wishes,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Name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Nunito" w:cs="Nunito" w:eastAsia="Nunito" w:hAnsi="Nunito"/>
          <w:color w:val="ff0000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ff0000"/>
          <w:sz w:val="24"/>
          <w:szCs w:val="24"/>
          <w:rtl w:val="0"/>
        </w:rPr>
        <w:t xml:space="preserve">Title</w:t>
      </w:r>
    </w:p>
    <w:sectPr>
      <w:headerReference r:id="rId9" w:type="default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arkinsons.org.uk/takepartresearch" TargetMode="External"/><Relationship Id="rId8" Type="http://schemas.openxmlformats.org/officeDocument/2006/relationships/hyperlink" Target="https://bepartofresearch.nihr.ac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0JW01i0MQRf9Rq7c8cuDe89SNQ==">AMUW2mXZ87noKhd3R4VBHeI80owdmK3CI5Wg98/yXMnpWYslB4TebwQwmUaquGR9eB9P0MG4u7WLVt1PFcMkFRR20Tyb2OFgAqCiZq9snl14ipl0I+glTYs=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