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10" w:rsidRDefault="00F94A10" w:rsidP="00F50AB8">
      <w:pPr>
        <w:pStyle w:val="NoSpacing"/>
        <w:rPr>
          <w:b/>
          <w:bCs/>
          <w:sz w:val="28"/>
        </w:rPr>
      </w:pPr>
      <w:bookmarkStart w:id="0" w:name="_GoBack"/>
      <w:bookmarkEnd w:id="0"/>
      <w:r>
        <w:rPr>
          <w:b/>
          <w:bCs/>
          <w:sz w:val="28"/>
        </w:rPr>
        <w:t>NHS continuing healthcare</w:t>
      </w:r>
      <w:r w:rsidR="00E72AF1">
        <w:rPr>
          <w:b/>
          <w:bCs/>
          <w:sz w:val="28"/>
        </w:rPr>
        <w:t xml:space="preserve"> glossary</w:t>
      </w:r>
    </w:p>
    <w:p w:rsidR="00F50AB8" w:rsidRDefault="00F50AB8" w:rsidP="00F50AB8">
      <w:pPr>
        <w:pStyle w:val="NoSpacing"/>
        <w:rPr>
          <w:b/>
          <w:bCs/>
        </w:rPr>
      </w:pPr>
    </w:p>
    <w:p w:rsidR="00F50AB8" w:rsidRPr="0058207B" w:rsidRDefault="00F50AB8" w:rsidP="00F50AB8">
      <w:pPr>
        <w:pStyle w:val="NoSpacing"/>
      </w:pPr>
      <w:r w:rsidRPr="0058207B">
        <w:rPr>
          <w:b/>
          <w:bCs/>
        </w:rPr>
        <w:t xml:space="preserve">All Party Parliamentary Group </w:t>
      </w:r>
      <w:r w:rsidRPr="0058207B">
        <w:t xml:space="preserve">– </w:t>
      </w:r>
      <w:r>
        <w:t xml:space="preserve">an </w:t>
      </w:r>
      <w:r w:rsidRPr="0058207B">
        <w:t>informal</w:t>
      </w:r>
      <w:r>
        <w:t xml:space="preserve"> group of MPs and Peers from all political parties that focus on particular issues in Parliament</w:t>
      </w:r>
      <w:r w:rsidR="00E72AF1">
        <w:t>.</w:t>
      </w:r>
    </w:p>
    <w:p w:rsidR="00F50AB8" w:rsidRDefault="00F50AB8" w:rsidP="00F50AB8">
      <w:pPr>
        <w:pStyle w:val="NoSpacing"/>
        <w:rPr>
          <w:b/>
          <w:bCs/>
        </w:rPr>
      </w:pPr>
    </w:p>
    <w:p w:rsidR="00F50AB8" w:rsidRPr="0058207B" w:rsidRDefault="00F50AB8" w:rsidP="00F50AB8">
      <w:pPr>
        <w:pStyle w:val="NoSpacing"/>
      </w:pPr>
      <w:r>
        <w:rPr>
          <w:b/>
          <w:bCs/>
        </w:rPr>
        <w:t>Clinical commissioning g</w:t>
      </w:r>
      <w:r w:rsidRPr="0058207B">
        <w:rPr>
          <w:b/>
          <w:bCs/>
        </w:rPr>
        <w:t xml:space="preserve">roup </w:t>
      </w:r>
      <w:r w:rsidRPr="0058207B">
        <w:t xml:space="preserve">– local organisations set up to commission local health services in England. </w:t>
      </w:r>
      <w:r>
        <w:t>There are currently 209 of these in England.</w:t>
      </w:r>
    </w:p>
    <w:p w:rsidR="00F50AB8" w:rsidRDefault="00F50AB8" w:rsidP="00F50AB8">
      <w:pPr>
        <w:pStyle w:val="NoSpacing"/>
        <w:rPr>
          <w:b/>
          <w:bCs/>
        </w:rPr>
      </w:pPr>
    </w:p>
    <w:p w:rsidR="00F50AB8" w:rsidRPr="007A287C" w:rsidRDefault="00E72AF1" w:rsidP="00F50AB8">
      <w:pPr>
        <w:pStyle w:val="NoSpacing"/>
      </w:pPr>
      <w:r>
        <w:rPr>
          <w:b/>
          <w:bCs/>
        </w:rPr>
        <w:t>Commissioning s</w:t>
      </w:r>
      <w:r w:rsidR="00F50AB8">
        <w:rPr>
          <w:b/>
          <w:bCs/>
        </w:rPr>
        <w:t>upport unit</w:t>
      </w:r>
      <w:r w:rsidR="007A287C">
        <w:rPr>
          <w:b/>
          <w:bCs/>
        </w:rPr>
        <w:t xml:space="preserve"> - </w:t>
      </w:r>
      <w:r w:rsidR="007A287C">
        <w:t>CSUs provide a wide range of commissioning support services that enable clinical commissioning groups, acute trusts and NHS England to focus their attention on patient services. CSUs manage things like IT, HR and business intelligence.</w:t>
      </w:r>
    </w:p>
    <w:p w:rsidR="00F50AB8" w:rsidRDefault="00F50AB8" w:rsidP="00F50AB8">
      <w:pPr>
        <w:pStyle w:val="NoSpacing"/>
        <w:rPr>
          <w:b/>
          <w:bCs/>
        </w:rPr>
      </w:pPr>
    </w:p>
    <w:p w:rsidR="00F50AB8" w:rsidRPr="0058207B" w:rsidRDefault="00F50AB8" w:rsidP="00F50AB8">
      <w:pPr>
        <w:pStyle w:val="NoSpacing"/>
      </w:pPr>
      <w:r>
        <w:rPr>
          <w:b/>
          <w:bCs/>
        </w:rPr>
        <w:t>Decision support t</w:t>
      </w:r>
      <w:r w:rsidRPr="0058207B">
        <w:rPr>
          <w:b/>
          <w:bCs/>
        </w:rPr>
        <w:t xml:space="preserve">ool </w:t>
      </w:r>
      <w:r w:rsidRPr="0058207B">
        <w:t xml:space="preserve">– a document published by the </w:t>
      </w:r>
      <w:r>
        <w:t xml:space="preserve">Department of Health to support </w:t>
      </w:r>
      <w:r w:rsidRPr="0058207B">
        <w:t>health and soc</w:t>
      </w:r>
      <w:r>
        <w:t xml:space="preserve">ial care professionals to apply </w:t>
      </w:r>
      <w:r w:rsidRPr="0058207B">
        <w:t xml:space="preserve">the </w:t>
      </w:r>
      <w:r>
        <w:t>National Framework</w:t>
      </w:r>
      <w:r w:rsidRPr="0058207B">
        <w:t xml:space="preserve"> for NHS </w:t>
      </w:r>
      <w:r w:rsidR="00E72AF1">
        <w:t>Continuing Healthcare and NHS-funded nursing c</w:t>
      </w:r>
      <w:r w:rsidRPr="0058207B">
        <w:t>are. The docume</w:t>
      </w:r>
      <w:r w:rsidR="00E72AF1">
        <w:t>nt aims to help professionals</w:t>
      </w:r>
      <w:r w:rsidRPr="0058207B">
        <w:t xml:space="preserve"> make decisions about elig</w:t>
      </w:r>
      <w:r w:rsidR="00E72AF1">
        <w:t>ibility in a consistent manner.</w:t>
      </w:r>
    </w:p>
    <w:p w:rsidR="00F50AB8" w:rsidRDefault="00F50AB8" w:rsidP="00F50AB8">
      <w:pPr>
        <w:pStyle w:val="NoSpacing"/>
        <w:rPr>
          <w:b/>
          <w:bCs/>
        </w:rPr>
      </w:pPr>
    </w:p>
    <w:p w:rsidR="00F50AB8" w:rsidRPr="00DC7DE4" w:rsidRDefault="00F50AB8" w:rsidP="00F50AB8">
      <w:pPr>
        <w:pStyle w:val="NoSpacing"/>
      </w:pPr>
      <w:r>
        <w:rPr>
          <w:b/>
          <w:bCs/>
        </w:rPr>
        <w:t xml:space="preserve">Independent review panel </w:t>
      </w:r>
      <w:r w:rsidRPr="00E72AF1">
        <w:rPr>
          <w:bCs/>
        </w:rPr>
        <w:t>–</w:t>
      </w:r>
      <w:r>
        <w:rPr>
          <w:b/>
          <w:bCs/>
        </w:rPr>
        <w:t xml:space="preserve"> </w:t>
      </w:r>
      <w:r>
        <w:t>an appeal process</w:t>
      </w:r>
      <w:r w:rsidRPr="00335997">
        <w:t xml:space="preserve"> governed by NHS </w:t>
      </w:r>
      <w:r>
        <w:t xml:space="preserve">England. </w:t>
      </w:r>
      <w:r w:rsidR="00E72AF1">
        <w:t>There are usually three</w:t>
      </w:r>
      <w:r w:rsidRPr="00335997">
        <w:t xml:space="preserve"> decision makers including an independent lay chair (an academic or legal person who has gone through training on this) a health professional and social care professional (who can’t be from same CCG who made the decision). The professionals should all wo</w:t>
      </w:r>
      <w:r>
        <w:t>rk together to make a decision and</w:t>
      </w:r>
      <w:r w:rsidRPr="00335997">
        <w:t xml:space="preserve"> often seek the advice of a clinician and specialist in the condition of the person applying.</w:t>
      </w:r>
    </w:p>
    <w:p w:rsidR="00F50AB8" w:rsidRDefault="00F50AB8" w:rsidP="00F50AB8">
      <w:pPr>
        <w:pStyle w:val="NoSpacing"/>
        <w:rPr>
          <w:b/>
          <w:bCs/>
        </w:rPr>
      </w:pPr>
    </w:p>
    <w:p w:rsidR="00F50AB8" w:rsidRPr="0058207B" w:rsidRDefault="00F50AB8" w:rsidP="00F50AB8">
      <w:pPr>
        <w:pStyle w:val="NoSpacing"/>
      </w:pPr>
      <w:r w:rsidRPr="0058207B">
        <w:rPr>
          <w:b/>
          <w:bCs/>
        </w:rPr>
        <w:t xml:space="preserve">Multidisciplinary team </w:t>
      </w:r>
      <w:r w:rsidRPr="0058207B">
        <w:t xml:space="preserve">– a group of health and social care </w:t>
      </w:r>
      <w:r>
        <w:t>professionals</w:t>
      </w:r>
      <w:r w:rsidRPr="0058207B">
        <w:t xml:space="preserve"> who</w:t>
      </w:r>
      <w:r>
        <w:t xml:space="preserve"> work together to determine whether a person is eligible for support.</w:t>
      </w:r>
    </w:p>
    <w:p w:rsidR="00F50AB8" w:rsidRDefault="00F50AB8" w:rsidP="00F50AB8">
      <w:pPr>
        <w:pStyle w:val="NoSpacing"/>
        <w:rPr>
          <w:b/>
          <w:bCs/>
        </w:rPr>
      </w:pPr>
    </w:p>
    <w:p w:rsidR="00F50AB8" w:rsidRPr="0058207B" w:rsidRDefault="00F50AB8" w:rsidP="00F50AB8">
      <w:pPr>
        <w:pStyle w:val="NoSpacing"/>
      </w:pPr>
      <w:r w:rsidRPr="0058207B">
        <w:rPr>
          <w:b/>
          <w:bCs/>
        </w:rPr>
        <w:t xml:space="preserve">NHS </w:t>
      </w:r>
      <w:r>
        <w:rPr>
          <w:b/>
          <w:bCs/>
        </w:rPr>
        <w:t>continuing healthcare</w:t>
      </w:r>
      <w:r w:rsidR="00F94A10">
        <w:rPr>
          <w:b/>
          <w:bCs/>
        </w:rPr>
        <w:t xml:space="preserve"> / NHS continuing care / NHS CHC</w:t>
      </w:r>
      <w:r w:rsidRPr="0058207B">
        <w:rPr>
          <w:b/>
          <w:bCs/>
        </w:rPr>
        <w:t xml:space="preserve"> </w:t>
      </w:r>
      <w:r w:rsidRPr="0058207B">
        <w:t xml:space="preserve">– a package of care arranged and funded entirely by the NHS, where it has been assessed that an individual’s primary need is a health need. This care package can then be provided in the individual’s care setting of choice, usually at home or </w:t>
      </w:r>
      <w:r w:rsidR="00E72AF1">
        <w:t>in a residential care facility.</w:t>
      </w:r>
    </w:p>
    <w:p w:rsidR="00F50AB8" w:rsidRPr="0058207B" w:rsidRDefault="00F50AB8" w:rsidP="00F50AB8">
      <w:pPr>
        <w:pStyle w:val="NoSpacing"/>
      </w:pPr>
    </w:p>
    <w:p w:rsidR="00F50AB8" w:rsidRPr="0058207B" w:rsidRDefault="00F50AB8" w:rsidP="00F50AB8">
      <w:pPr>
        <w:pStyle w:val="NoSpacing"/>
      </w:pPr>
      <w:r w:rsidRPr="0058207B">
        <w:rPr>
          <w:b/>
          <w:bCs/>
        </w:rPr>
        <w:t xml:space="preserve">Parliamentary and Health Service Ombudsman </w:t>
      </w:r>
      <w:r w:rsidRPr="0058207B">
        <w:t xml:space="preserve">– a free and </w:t>
      </w:r>
      <w:r>
        <w:t xml:space="preserve">independent service established </w:t>
      </w:r>
      <w:r w:rsidRPr="0058207B">
        <w:t>to investigate complaints about the NHS in England, UK government departments and other public organisations. The Ombudsman makes</w:t>
      </w:r>
      <w:r w:rsidRPr="0058207B">
        <w:br/>
        <w:t>the final decision on complaints about thes</w:t>
      </w:r>
      <w:r>
        <w:t>e services made by individuals.</w:t>
      </w:r>
    </w:p>
    <w:p w:rsidR="00F50AB8" w:rsidRPr="0058207B" w:rsidRDefault="00F50AB8" w:rsidP="00F50AB8">
      <w:pPr>
        <w:pStyle w:val="NoSpacing"/>
      </w:pPr>
      <w:r w:rsidRPr="0058207B">
        <w:t xml:space="preserve"> </w:t>
      </w:r>
    </w:p>
    <w:p w:rsidR="00F50AB8" w:rsidRPr="0058207B" w:rsidRDefault="00F50AB8" w:rsidP="00F50AB8">
      <w:pPr>
        <w:pStyle w:val="NoSpacing"/>
      </w:pPr>
      <w:r w:rsidRPr="0058207B">
        <w:rPr>
          <w:b/>
          <w:bCs/>
        </w:rPr>
        <w:t xml:space="preserve">Social care </w:t>
      </w:r>
      <w:r w:rsidRPr="0058207B">
        <w:t xml:space="preserve">– services that provide help for people to perform daily living tasks to ensure they remain safe and independent. This can be anything from assistance with personal tasks such as washing and dressing, assistive equipment such as grab rails or respite for the individual’s carer through breaks or access to a day centre. This can be provided </w:t>
      </w:r>
      <w:r w:rsidR="00E72AF1">
        <w:t>at home or in residential care.</w:t>
      </w:r>
    </w:p>
    <w:p w:rsidR="00F50AB8" w:rsidRDefault="00F50AB8" w:rsidP="00F50AB8">
      <w:pPr>
        <w:pStyle w:val="NoSpacing"/>
        <w:rPr>
          <w:b/>
          <w:bCs/>
        </w:rPr>
      </w:pPr>
    </w:p>
    <w:p w:rsidR="00F50AB8" w:rsidRPr="0058207B" w:rsidRDefault="00F50AB8" w:rsidP="00F50AB8">
      <w:pPr>
        <w:pStyle w:val="NoSpacing"/>
        <w:rPr>
          <w:b/>
        </w:rPr>
      </w:pPr>
      <w:r w:rsidRPr="0058207B">
        <w:rPr>
          <w:b/>
          <w:sz w:val="24"/>
        </w:rPr>
        <w:t xml:space="preserve">Acronyms </w:t>
      </w:r>
    </w:p>
    <w:p w:rsidR="00F50AB8" w:rsidRDefault="00F50AB8" w:rsidP="00F50AB8">
      <w:pPr>
        <w:pStyle w:val="NoSpacing"/>
      </w:pPr>
      <w:r w:rsidRPr="0058207B">
        <w:rPr>
          <w:b/>
          <w:bCs/>
        </w:rPr>
        <w:t xml:space="preserve">APPG </w:t>
      </w:r>
      <w:r w:rsidRPr="0058207B">
        <w:t xml:space="preserve">All Party Parliamentary Group </w:t>
      </w:r>
    </w:p>
    <w:p w:rsidR="00F50AB8" w:rsidRDefault="00F50AB8" w:rsidP="00F50AB8">
      <w:pPr>
        <w:pStyle w:val="NoSpacing"/>
      </w:pPr>
      <w:r w:rsidRPr="0058207B">
        <w:rPr>
          <w:b/>
          <w:bCs/>
        </w:rPr>
        <w:t xml:space="preserve">CCG </w:t>
      </w:r>
      <w:r w:rsidRPr="0058207B">
        <w:t xml:space="preserve">Clinical Commissioning Group </w:t>
      </w:r>
    </w:p>
    <w:p w:rsidR="00F50AB8" w:rsidRPr="0058207B" w:rsidRDefault="00F50AB8" w:rsidP="00F50AB8">
      <w:pPr>
        <w:pStyle w:val="NoSpacing"/>
      </w:pPr>
      <w:r w:rsidRPr="00E10C1D">
        <w:rPr>
          <w:b/>
        </w:rPr>
        <w:t xml:space="preserve">CSU </w:t>
      </w:r>
      <w:r w:rsidR="00E10C1D">
        <w:t>Commissioning</w:t>
      </w:r>
      <w:r>
        <w:t xml:space="preserve"> Support Unit</w:t>
      </w:r>
    </w:p>
    <w:p w:rsidR="00F50AB8" w:rsidRDefault="00F50AB8" w:rsidP="00F50AB8">
      <w:pPr>
        <w:pStyle w:val="NoSpacing"/>
        <w:rPr>
          <w:b/>
          <w:bCs/>
        </w:rPr>
      </w:pPr>
      <w:r>
        <w:rPr>
          <w:b/>
          <w:bCs/>
        </w:rPr>
        <w:t xml:space="preserve">DOH </w:t>
      </w:r>
      <w:r w:rsidRPr="00B177BE">
        <w:rPr>
          <w:bCs/>
        </w:rPr>
        <w:t>Department of Health</w:t>
      </w:r>
    </w:p>
    <w:p w:rsidR="00F50AB8" w:rsidRPr="0058207B" w:rsidRDefault="00F50AB8" w:rsidP="00F50AB8">
      <w:pPr>
        <w:pStyle w:val="NoSpacing"/>
      </w:pPr>
      <w:r>
        <w:rPr>
          <w:b/>
          <w:bCs/>
        </w:rPr>
        <w:t xml:space="preserve">NHS </w:t>
      </w:r>
      <w:r w:rsidRPr="0058207B">
        <w:rPr>
          <w:b/>
          <w:bCs/>
        </w:rPr>
        <w:t xml:space="preserve">CHC </w:t>
      </w:r>
      <w:r>
        <w:t>NHS continuing healthcare</w:t>
      </w:r>
    </w:p>
    <w:p w:rsidR="00F50AB8" w:rsidRDefault="00F50AB8" w:rsidP="00F50AB8">
      <w:pPr>
        <w:pStyle w:val="NoSpacing"/>
      </w:pPr>
      <w:r w:rsidRPr="0058207B">
        <w:rPr>
          <w:b/>
          <w:bCs/>
        </w:rPr>
        <w:t xml:space="preserve">DH </w:t>
      </w:r>
      <w:r w:rsidRPr="0058207B">
        <w:t xml:space="preserve">Department of Health </w:t>
      </w:r>
    </w:p>
    <w:p w:rsidR="00F50AB8" w:rsidRDefault="00F50AB8" w:rsidP="00F50AB8">
      <w:pPr>
        <w:pStyle w:val="NoSpacing"/>
      </w:pPr>
      <w:r w:rsidRPr="0058207B">
        <w:rPr>
          <w:b/>
          <w:bCs/>
        </w:rPr>
        <w:t xml:space="preserve">DST </w:t>
      </w:r>
      <w:r w:rsidRPr="0058207B">
        <w:t xml:space="preserve">Decision Support Tool </w:t>
      </w:r>
    </w:p>
    <w:p w:rsidR="00F50AB8" w:rsidRDefault="00F50AB8" w:rsidP="00F50AB8">
      <w:pPr>
        <w:pStyle w:val="NoSpacing"/>
      </w:pPr>
      <w:r w:rsidRPr="00335997">
        <w:rPr>
          <w:b/>
        </w:rPr>
        <w:t>FOI</w:t>
      </w:r>
      <w:r>
        <w:t xml:space="preserve"> Freedom of Information Request</w:t>
      </w:r>
    </w:p>
    <w:p w:rsidR="00F50AB8" w:rsidRDefault="00F50AB8" w:rsidP="00F50AB8">
      <w:pPr>
        <w:pStyle w:val="NoSpacing"/>
      </w:pPr>
      <w:r w:rsidRPr="00335997">
        <w:rPr>
          <w:b/>
        </w:rPr>
        <w:lastRenderedPageBreak/>
        <w:t>IRP</w:t>
      </w:r>
      <w:r>
        <w:t xml:space="preserve"> Independent Review Panel</w:t>
      </w:r>
    </w:p>
    <w:p w:rsidR="00F50AB8" w:rsidRPr="0058207B" w:rsidRDefault="00F50AB8" w:rsidP="00F50AB8">
      <w:pPr>
        <w:pStyle w:val="NoSpacing"/>
      </w:pPr>
      <w:r w:rsidRPr="00335997">
        <w:rPr>
          <w:b/>
        </w:rPr>
        <w:t>MDT</w:t>
      </w:r>
      <w:r>
        <w:t xml:space="preserve"> Multidisciplinary team</w:t>
      </w:r>
    </w:p>
    <w:p w:rsidR="00F50AB8" w:rsidRDefault="00F50AB8" w:rsidP="00F50AB8">
      <w:pPr>
        <w:pStyle w:val="NoSpacing"/>
      </w:pPr>
      <w:r w:rsidRPr="0058207B">
        <w:rPr>
          <w:b/>
          <w:bCs/>
        </w:rPr>
        <w:t xml:space="preserve">MND </w:t>
      </w:r>
      <w:r>
        <w:t>Motor Neurone Disease</w:t>
      </w:r>
    </w:p>
    <w:p w:rsidR="00F50AB8" w:rsidRDefault="00F50AB8" w:rsidP="00F50AB8">
      <w:pPr>
        <w:pStyle w:val="NoSpacing"/>
      </w:pPr>
      <w:r w:rsidRPr="000D5995">
        <w:rPr>
          <w:b/>
        </w:rPr>
        <w:t>MSA</w:t>
      </w:r>
      <w:r>
        <w:t xml:space="preserve"> Multiple System Atrophy</w:t>
      </w:r>
    </w:p>
    <w:p w:rsidR="00F50AB8" w:rsidRDefault="00F50AB8" w:rsidP="00F50AB8">
      <w:pPr>
        <w:pStyle w:val="NoSpacing"/>
      </w:pPr>
      <w:r w:rsidRPr="00B112A0">
        <w:rPr>
          <w:b/>
        </w:rPr>
        <w:t xml:space="preserve">PHSO </w:t>
      </w:r>
      <w:r>
        <w:t>Parliamentary and Health Service Ombudsman</w:t>
      </w:r>
    </w:p>
    <w:p w:rsidR="00F50AB8" w:rsidRDefault="00F50AB8" w:rsidP="00F50AB8">
      <w:pPr>
        <w:pStyle w:val="NoSpacing"/>
      </w:pPr>
    </w:p>
    <w:p w:rsidR="007A287C" w:rsidRDefault="007A287C"/>
    <w:sectPr w:rsidR="007A287C" w:rsidSect="007A287C">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A8" w:rsidRDefault="00AD01A8">
      <w:r>
        <w:separator/>
      </w:r>
    </w:p>
  </w:endnote>
  <w:endnote w:type="continuationSeparator" w:id="0">
    <w:p w:rsidR="00AD01A8" w:rsidRDefault="00AD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012393"/>
      <w:docPartObj>
        <w:docPartGallery w:val="Page Numbers (Bottom of Page)"/>
        <w:docPartUnique/>
      </w:docPartObj>
    </w:sdtPr>
    <w:sdtEndPr>
      <w:rPr>
        <w:noProof/>
      </w:rPr>
    </w:sdtEndPr>
    <w:sdtContent>
      <w:p w:rsidR="007A287C" w:rsidRDefault="007A287C">
        <w:pPr>
          <w:pStyle w:val="Footer"/>
          <w:jc w:val="right"/>
        </w:pPr>
        <w:r>
          <w:fldChar w:fldCharType="begin"/>
        </w:r>
        <w:r>
          <w:instrText xml:space="preserve"> PAGE   \* MERGEFORMAT </w:instrText>
        </w:r>
        <w:r>
          <w:fldChar w:fldCharType="separate"/>
        </w:r>
        <w:r w:rsidR="007A2B68">
          <w:rPr>
            <w:noProof/>
          </w:rPr>
          <w:t>1</w:t>
        </w:r>
        <w:r>
          <w:rPr>
            <w:noProof/>
          </w:rPr>
          <w:fldChar w:fldCharType="end"/>
        </w:r>
      </w:p>
    </w:sdtContent>
  </w:sdt>
  <w:p w:rsidR="007A287C" w:rsidRDefault="007A2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A8" w:rsidRDefault="00AD01A8">
      <w:r>
        <w:separator/>
      </w:r>
    </w:p>
  </w:footnote>
  <w:footnote w:type="continuationSeparator" w:id="0">
    <w:p w:rsidR="00AD01A8" w:rsidRDefault="00AD0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B8"/>
    <w:rsid w:val="002222AF"/>
    <w:rsid w:val="00372182"/>
    <w:rsid w:val="00431B9E"/>
    <w:rsid w:val="007A287C"/>
    <w:rsid w:val="007A2B68"/>
    <w:rsid w:val="00AD01A8"/>
    <w:rsid w:val="00D57D0E"/>
    <w:rsid w:val="00E10C1D"/>
    <w:rsid w:val="00E72AF1"/>
    <w:rsid w:val="00F50AB8"/>
    <w:rsid w:val="00F63720"/>
    <w:rsid w:val="00F94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BB35C-1395-4F01-822D-A03AAF40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A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AB8"/>
    <w:pPr>
      <w:spacing w:after="0" w:line="240" w:lineRule="auto"/>
    </w:pPr>
    <w:rPr>
      <w:rFonts w:ascii="Arial" w:eastAsiaTheme="minorEastAsia" w:hAnsi="Arial" w:cs="Arial"/>
      <w:lang w:val="en-US" w:eastAsia="en-GB"/>
    </w:rPr>
  </w:style>
  <w:style w:type="paragraph" w:styleId="Footer">
    <w:name w:val="footer"/>
    <w:basedOn w:val="Normal"/>
    <w:link w:val="FooterChar"/>
    <w:uiPriority w:val="99"/>
    <w:unhideWhenUsed/>
    <w:rsid w:val="00F50AB8"/>
    <w:pPr>
      <w:tabs>
        <w:tab w:val="center" w:pos="4513"/>
        <w:tab w:val="right" w:pos="9026"/>
      </w:tabs>
    </w:pPr>
  </w:style>
  <w:style w:type="character" w:customStyle="1" w:styleId="FooterChar">
    <w:name w:val="Footer Char"/>
    <w:basedOn w:val="DefaultParagraphFont"/>
    <w:link w:val="Footer"/>
    <w:uiPriority w:val="99"/>
    <w:rsid w:val="00F50AB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Parkinsons UK</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Vine</dc:creator>
  <cp:lastModifiedBy>Jennifer Campbell</cp:lastModifiedBy>
  <cp:revision>2</cp:revision>
  <dcterms:created xsi:type="dcterms:W3CDTF">2017-08-30T14:16:00Z</dcterms:created>
  <dcterms:modified xsi:type="dcterms:W3CDTF">2017-08-30T14:16:00Z</dcterms:modified>
</cp:coreProperties>
</file>